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F9" w:rsidRPr="008419F9" w:rsidRDefault="00F446BE" w:rsidP="00F4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9496425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6-02_09-05-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5768" cy="636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6E58" w:rsidRPr="00F16E58" w:rsidRDefault="00F16E58" w:rsidP="00EC6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ED" w:rsidRPr="00AA1055" w:rsidRDefault="00F255ED" w:rsidP="0033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ED" w:rsidRDefault="00AF716C" w:rsidP="00F25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Уярский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«Планета детства»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«</w:t>
      </w:r>
      <w:r w:rsidR="0033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55ED" w:rsidRPr="00F2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5ED" w:rsidRDefault="00F255ED" w:rsidP="00F25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proofErr w:type="gramStart"/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pacing w:val="-2"/>
          <w:sz w:val="24"/>
          <w:szCs w:val="24"/>
        </w:rPr>
        <w:t>Уярский</w:t>
      </w:r>
      <w:proofErr w:type="spellEnd"/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Ленина, 64А.</w:t>
      </w:r>
      <w:proofErr w:type="gramEnd"/>
    </w:p>
    <w:p w:rsidR="00F255ED" w:rsidRPr="00AA1055" w:rsidRDefault="00F255ED" w:rsidP="00F25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Фактический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pacing w:val="-2"/>
          <w:sz w:val="24"/>
          <w:szCs w:val="24"/>
        </w:rPr>
        <w:t>Уярски</w:t>
      </w:r>
      <w:r w:rsidR="00F16E58">
        <w:rPr>
          <w:rFonts w:ascii="Times New Roman" w:hAnsi="Times New Roman" w:cs="Times New Roman"/>
          <w:spacing w:val="-2"/>
          <w:sz w:val="24"/>
          <w:szCs w:val="24"/>
        </w:rPr>
        <w:t>й</w:t>
      </w:r>
      <w:proofErr w:type="spellEnd"/>
      <w:r w:rsidR="00F16E58"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З.Космодемьянской,7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255ED" w:rsidRPr="00AA1055" w:rsidRDefault="00F255ED" w:rsidP="00F255E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>Почтовый адрес Учреждения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: 663920, 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pacing w:val="-2"/>
          <w:sz w:val="24"/>
          <w:szCs w:val="24"/>
        </w:rPr>
        <w:t>Уярский</w:t>
      </w:r>
      <w:proofErr w:type="spellEnd"/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</w:t>
      </w:r>
      <w:r w:rsidR="00F16E58">
        <w:rPr>
          <w:rFonts w:ascii="Times New Roman" w:hAnsi="Times New Roman" w:cs="Times New Roman"/>
          <w:spacing w:val="-2"/>
          <w:sz w:val="24"/>
          <w:szCs w:val="24"/>
        </w:rPr>
        <w:t>З.Космодемьянской,7</w:t>
      </w:r>
      <w:r w:rsidR="00F16E58" w:rsidRPr="00AA10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255ED" w:rsidRPr="00AA1055" w:rsidRDefault="00F255ED" w:rsidP="00F25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8(39146)</w:t>
      </w:r>
      <w:r w:rsidR="00F16E58">
        <w:rPr>
          <w:rFonts w:ascii="Times New Roman" w:eastAsia="Times New Roman" w:hAnsi="Times New Roman" w:cs="Times New Roman"/>
          <w:sz w:val="24"/>
          <w:szCs w:val="24"/>
          <w:lang w:eastAsia="ru-RU"/>
        </w:rPr>
        <w:t>-23-0-88</w:t>
      </w:r>
    </w:p>
    <w:p w:rsidR="00F255ED" w:rsidRPr="00AA1055" w:rsidRDefault="00F255ED" w:rsidP="00F25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адрес: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FFB" w:rsidRPr="00083FFB">
        <w:rPr>
          <w:rFonts w:ascii="Times New Roman" w:eastAsia="Times New Roman" w:hAnsi="Times New Roman" w:cs="Times New Roman"/>
          <w:sz w:val="24"/>
          <w:szCs w:val="24"/>
          <w:lang w:eastAsia="ru-RU"/>
        </w:rPr>
        <w:t>d-s.ulibka@mail.ru</w:t>
      </w:r>
    </w:p>
    <w:p w:rsidR="008419F9" w:rsidRPr="008419F9" w:rsidRDefault="000A0DA4" w:rsidP="0084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hAnsi="Times New Roman" w:cs="Times New Roman"/>
          <w:sz w:val="24"/>
          <w:szCs w:val="24"/>
        </w:rPr>
        <w:t xml:space="preserve">Официальный сайт учреждения: </w:t>
      </w:r>
      <w:r w:rsidR="008419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419F9">
        <w:rPr>
          <w:rFonts w:ascii="Times New Roman" w:hAnsi="Times New Roman" w:cs="Times New Roman"/>
          <w:sz w:val="24"/>
          <w:szCs w:val="24"/>
        </w:rPr>
        <w:t>://</w:t>
      </w:r>
      <w:r w:rsidR="008419F9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planeta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detstva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uyar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r w:rsidR="008419F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419F9" w:rsidRPr="008419F9">
        <w:rPr>
          <w:rFonts w:ascii="Times New Roman" w:hAnsi="Times New Roman" w:cs="Times New Roman"/>
          <w:sz w:val="24"/>
          <w:szCs w:val="24"/>
        </w:rPr>
        <w:t>04.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qosweb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qosusludi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55ED" w:rsidRDefault="00F255ED" w:rsidP="003A07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344" w:rsidRDefault="008D4344" w:rsidP="003A0714">
      <w:pPr>
        <w:shd w:val="clear" w:color="auto" w:fill="FFFFFF"/>
        <w:spacing w:after="0" w:line="240" w:lineRule="auto"/>
        <w:jc w:val="both"/>
      </w:pPr>
    </w:p>
    <w:p w:rsidR="008D4344" w:rsidRDefault="008D4344" w:rsidP="008D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Уярский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«Планета детства»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«Теремок»</w:t>
      </w:r>
      <w:r w:rsidRPr="00F2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344" w:rsidRDefault="008D4344" w:rsidP="008D43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proofErr w:type="gramStart"/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pacing w:val="-2"/>
          <w:sz w:val="24"/>
          <w:szCs w:val="24"/>
        </w:rPr>
        <w:t>Уярский</w:t>
      </w:r>
      <w:proofErr w:type="spellEnd"/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Ленина, 64А.</w:t>
      </w:r>
      <w:proofErr w:type="gramEnd"/>
    </w:p>
    <w:p w:rsidR="008D4344" w:rsidRPr="00AA1055" w:rsidRDefault="008D4344" w:rsidP="008D43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Фактический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pacing w:val="-2"/>
          <w:sz w:val="24"/>
          <w:szCs w:val="24"/>
        </w:rPr>
        <w:t>Уярски</w:t>
      </w:r>
      <w:r>
        <w:rPr>
          <w:rFonts w:ascii="Times New Roman" w:hAnsi="Times New Roman" w:cs="Times New Roman"/>
          <w:spacing w:val="-2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Карла Маркса,77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D4344" w:rsidRPr="00AA1055" w:rsidRDefault="008D4344" w:rsidP="008D434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>Почтовый адрес Учреждения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: 663920, 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pacing w:val="-2"/>
          <w:sz w:val="24"/>
          <w:szCs w:val="24"/>
        </w:rPr>
        <w:t>Уярский</w:t>
      </w:r>
      <w:proofErr w:type="spellEnd"/>
      <w:r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</w:t>
      </w:r>
      <w:r>
        <w:rPr>
          <w:rFonts w:ascii="Times New Roman" w:hAnsi="Times New Roman" w:cs="Times New Roman"/>
          <w:spacing w:val="-2"/>
          <w:sz w:val="24"/>
          <w:szCs w:val="24"/>
        </w:rPr>
        <w:t>Карла Маркса,77</w:t>
      </w:r>
      <w:r w:rsidRPr="00AA10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D4344" w:rsidRPr="00AA1055" w:rsidRDefault="008D4344" w:rsidP="008D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8(39146)</w:t>
      </w:r>
      <w:r w:rsidR="001617D7">
        <w:rPr>
          <w:rFonts w:ascii="Times New Roman" w:eastAsia="Times New Roman" w:hAnsi="Times New Roman" w:cs="Times New Roman"/>
          <w:sz w:val="24"/>
          <w:szCs w:val="24"/>
          <w:lang w:eastAsia="ru-RU"/>
        </w:rPr>
        <w:t>-23-2-4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419F9" w:rsidRDefault="008D4344" w:rsidP="008D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адрес:</w:t>
      </w:r>
      <w:r w:rsidR="008419F9" w:rsidRPr="008419F9">
        <w:t xml:space="preserve"> </w:t>
      </w:r>
      <w:r w:rsidR="008419F9" w:rsidRPr="00841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teremok-uyar@rambler.ru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9F9" w:rsidRPr="008419F9" w:rsidRDefault="008D4344" w:rsidP="0084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hAnsi="Times New Roman" w:cs="Times New Roman"/>
          <w:sz w:val="24"/>
          <w:szCs w:val="24"/>
        </w:rPr>
        <w:t xml:space="preserve">Официальный сайт учреждения: </w:t>
      </w:r>
      <w:r w:rsidR="008419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419F9">
        <w:rPr>
          <w:rFonts w:ascii="Times New Roman" w:hAnsi="Times New Roman" w:cs="Times New Roman"/>
          <w:sz w:val="24"/>
          <w:szCs w:val="24"/>
        </w:rPr>
        <w:t>://</w:t>
      </w:r>
      <w:r w:rsidR="008419F9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planeta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detstva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uyar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-</w:t>
      </w:r>
      <w:r w:rsidR="008419F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419F9" w:rsidRPr="008419F9">
        <w:rPr>
          <w:rFonts w:ascii="Times New Roman" w:hAnsi="Times New Roman" w:cs="Times New Roman"/>
          <w:sz w:val="24"/>
          <w:szCs w:val="24"/>
        </w:rPr>
        <w:t>04.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qosweb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qosusludi</w:t>
      </w:r>
      <w:proofErr w:type="spellEnd"/>
      <w:r w:rsidR="008419F9" w:rsidRPr="008419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19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D4344" w:rsidRDefault="008D4344" w:rsidP="008D4344">
      <w:pPr>
        <w:shd w:val="clear" w:color="auto" w:fill="FFFFFF"/>
        <w:spacing w:after="0" w:line="240" w:lineRule="auto"/>
        <w:jc w:val="both"/>
      </w:pPr>
    </w:p>
    <w:p w:rsidR="008D4344" w:rsidRPr="00AA1055" w:rsidRDefault="008D4344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90" w:rsidRDefault="00A36790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 на осуществление образовательной деятельности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24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 01-№00</w:t>
      </w:r>
      <w:r w:rsidR="00DF610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03098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№ </w:t>
      </w:r>
      <w:r w:rsidR="00DF610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9860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выдана </w:t>
      </w:r>
      <w:r w:rsidR="005778A2"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610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выдана Министерством образования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края. 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– бессрочно</w:t>
      </w:r>
    </w:p>
    <w:p w:rsidR="00F0596B" w:rsidRPr="00AA1055" w:rsidRDefault="009A5117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на</w:t>
      </w:r>
      <w:r w:rsidR="005778A2" w:rsidRPr="0057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78A2"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</w:t>
      </w:r>
      <w:r w:rsidR="0057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</w:t>
      </w:r>
      <w:r w:rsidR="00F16E58"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1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льного</w:t>
      </w:r>
      <w:r w:rsidR="0057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="00083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</w:t>
      </w:r>
      <w:proofErr w:type="gramStart"/>
      <w:r w:rsidR="00083FFB" w:rsidRPr="0008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3FFB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083F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083FFB"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Российская Федерация, Красноярский край, </w:t>
      </w:r>
      <w:proofErr w:type="spellStart"/>
      <w:r w:rsidR="00083FFB" w:rsidRPr="00AA1055">
        <w:rPr>
          <w:rFonts w:ascii="Times New Roman" w:hAnsi="Times New Roman" w:cs="Times New Roman"/>
          <w:spacing w:val="-2"/>
          <w:sz w:val="24"/>
          <w:szCs w:val="24"/>
        </w:rPr>
        <w:t>Уярский</w:t>
      </w:r>
      <w:proofErr w:type="spellEnd"/>
      <w:r w:rsidR="00083FFB" w:rsidRPr="00AA1055">
        <w:rPr>
          <w:rFonts w:ascii="Times New Roman" w:hAnsi="Times New Roman" w:cs="Times New Roman"/>
          <w:spacing w:val="-2"/>
          <w:sz w:val="24"/>
          <w:szCs w:val="24"/>
        </w:rPr>
        <w:t xml:space="preserve"> район, г. Уяр, ул. Ленина, 64А.</w:t>
      </w:r>
      <w:proofErr w:type="gramEnd"/>
    </w:p>
    <w:p w:rsidR="00CB1967" w:rsidRDefault="00A36790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муниципального бюджетного дошкольного образовательного учреждения 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Уярский</w:t>
      </w:r>
      <w:proofErr w:type="spellEnd"/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10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«Планета детства», утвержден Постановлением А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333A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</w:t>
      </w:r>
      <w:r w:rsidR="00DF610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F610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737-п от 30.09.2019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B1967" w:rsidRPr="00CB1967" w:rsidRDefault="00CB1967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структурном подразде</w:t>
      </w:r>
      <w:r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утверждено ОО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18.02.2020 № 5-Р</w:t>
      </w:r>
    </w:p>
    <w:p w:rsidR="002333AA" w:rsidRPr="00AA1055" w:rsidRDefault="00083FFB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учреждениях</w:t>
      </w:r>
      <w:r w:rsidR="002333AA" w:rsidRPr="00AA1055">
        <w:rPr>
          <w:rFonts w:ascii="Times New Roman" w:hAnsi="Times New Roman" w:cs="Times New Roman"/>
          <w:sz w:val="24"/>
          <w:szCs w:val="24"/>
        </w:rPr>
        <w:t xml:space="preserve"> функционируют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333AA" w:rsidRPr="00AA105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333AA" w:rsidRPr="00AA105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2333AA" w:rsidRPr="00AA1055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="002333AA" w:rsidRPr="00AA1055">
        <w:rPr>
          <w:rFonts w:ascii="Times New Roman" w:hAnsi="Times New Roman" w:cs="Times New Roman"/>
          <w:sz w:val="24"/>
          <w:szCs w:val="24"/>
        </w:rPr>
        <w:t xml:space="preserve"> (10,5</w:t>
      </w:r>
      <w:r w:rsidR="009F6407" w:rsidRPr="00AA1055">
        <w:rPr>
          <w:rFonts w:ascii="Times New Roman" w:hAnsi="Times New Roman" w:cs="Times New Roman"/>
          <w:sz w:val="24"/>
          <w:szCs w:val="24"/>
        </w:rPr>
        <w:t>-часового пребывания)</w:t>
      </w:r>
      <w:r w:rsidR="002333AA" w:rsidRPr="00AA1055">
        <w:rPr>
          <w:rFonts w:ascii="Times New Roman" w:hAnsi="Times New Roman" w:cs="Times New Roman"/>
          <w:sz w:val="24"/>
          <w:szCs w:val="24"/>
        </w:rPr>
        <w:t>.</w:t>
      </w:r>
    </w:p>
    <w:p w:rsidR="002333AA" w:rsidRPr="00AA1055" w:rsidRDefault="00F16E58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работаю</w:t>
      </w:r>
      <w:r w:rsidR="002333AA" w:rsidRPr="00AA1055">
        <w:rPr>
          <w:rFonts w:ascii="Times New Roman" w:hAnsi="Times New Roman" w:cs="Times New Roman"/>
          <w:sz w:val="24"/>
          <w:szCs w:val="24"/>
        </w:rPr>
        <w:t>т по пятидневной рабочей неделе с понедельника по пятницу при наличии групп соответствующей направленности:</w:t>
      </w:r>
    </w:p>
    <w:p w:rsidR="002333AA" w:rsidRPr="00AA1055" w:rsidRDefault="002333AA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>комбинированной  напра</w:t>
      </w:r>
      <w:r w:rsidR="00DF610D" w:rsidRPr="00AA1055">
        <w:rPr>
          <w:rFonts w:ascii="Times New Roman" w:hAnsi="Times New Roman" w:cs="Times New Roman"/>
          <w:sz w:val="24"/>
          <w:szCs w:val="24"/>
        </w:rPr>
        <w:t>вленности</w:t>
      </w:r>
      <w:r w:rsidRPr="00AA1055">
        <w:rPr>
          <w:rFonts w:ascii="Times New Roman" w:hAnsi="Times New Roman" w:cs="Times New Roman"/>
          <w:sz w:val="24"/>
          <w:szCs w:val="24"/>
        </w:rPr>
        <w:t>;</w:t>
      </w:r>
      <w:r w:rsidR="005778A2">
        <w:rPr>
          <w:rFonts w:ascii="Times New Roman" w:hAnsi="Times New Roman" w:cs="Times New Roman"/>
          <w:sz w:val="24"/>
          <w:szCs w:val="24"/>
        </w:rPr>
        <w:t xml:space="preserve"> </w:t>
      </w:r>
      <w:r w:rsidRPr="00AA1055">
        <w:rPr>
          <w:rFonts w:ascii="Times New Roman" w:hAnsi="Times New Roman" w:cs="Times New Roman"/>
          <w:sz w:val="24"/>
          <w:szCs w:val="24"/>
        </w:rPr>
        <w:t>общеразвивающей н</w:t>
      </w:r>
      <w:r w:rsidR="00DF610D" w:rsidRPr="00AA1055">
        <w:rPr>
          <w:rFonts w:ascii="Times New Roman" w:hAnsi="Times New Roman" w:cs="Times New Roman"/>
          <w:sz w:val="24"/>
          <w:szCs w:val="24"/>
        </w:rPr>
        <w:t>аправленности</w:t>
      </w:r>
      <w:r w:rsidRPr="00AA1055">
        <w:rPr>
          <w:rFonts w:ascii="Times New Roman" w:hAnsi="Times New Roman" w:cs="Times New Roman"/>
          <w:sz w:val="24"/>
          <w:szCs w:val="24"/>
        </w:rPr>
        <w:t>;</w:t>
      </w:r>
    </w:p>
    <w:p w:rsidR="002333AA" w:rsidRPr="00AA1055" w:rsidRDefault="002333AA" w:rsidP="003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>Выходные дни – суббота и воскресенье.</w:t>
      </w:r>
      <w:r w:rsidRPr="00AA1055">
        <w:rPr>
          <w:rFonts w:ascii="Times New Roman" w:hAnsi="Times New Roman" w:cs="Times New Roman"/>
          <w:sz w:val="24"/>
          <w:szCs w:val="24"/>
        </w:rPr>
        <w:tab/>
      </w:r>
    </w:p>
    <w:p w:rsidR="002333AA" w:rsidRPr="00AA1055" w:rsidRDefault="002333AA" w:rsidP="003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>В предпраздничные дни пребывание воспитанников Учреждения  сокращается на 1 час.</w:t>
      </w:r>
    </w:p>
    <w:p w:rsidR="002333AA" w:rsidRPr="00AA1055" w:rsidRDefault="002333AA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 Администрация </w:t>
      </w:r>
      <w:proofErr w:type="spellStart"/>
      <w:r w:rsidRPr="00AA1055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AA1055">
        <w:rPr>
          <w:rFonts w:ascii="Times New Roman" w:hAnsi="Times New Roman" w:cs="Times New Roman"/>
          <w:sz w:val="24"/>
          <w:szCs w:val="24"/>
        </w:rPr>
        <w:t xml:space="preserve"> района. Функции и полномочия учредителя осуществляет Отдел образования администрации </w:t>
      </w:r>
      <w:proofErr w:type="spellStart"/>
      <w:r w:rsidRPr="00AA1055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AA1055">
        <w:rPr>
          <w:rFonts w:ascii="Times New Roman" w:hAnsi="Times New Roman" w:cs="Times New Roman"/>
          <w:sz w:val="24"/>
          <w:szCs w:val="24"/>
        </w:rPr>
        <w:t xml:space="preserve"> района (далее </w:t>
      </w:r>
      <w:proofErr w:type="gramStart"/>
      <w:r w:rsidRPr="00AA1055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A1055">
        <w:rPr>
          <w:rFonts w:ascii="Times New Roman" w:hAnsi="Times New Roman" w:cs="Times New Roman"/>
          <w:sz w:val="24"/>
          <w:szCs w:val="24"/>
        </w:rPr>
        <w:t>чредитель).</w:t>
      </w:r>
    </w:p>
    <w:p w:rsidR="002333AA" w:rsidRPr="00AA1055" w:rsidRDefault="002333AA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 xml:space="preserve">Место нахождения Учредителя: Российская Федерация, Красноярский край, </w:t>
      </w:r>
      <w:proofErr w:type="spellStart"/>
      <w:r w:rsidRPr="00AA1055">
        <w:rPr>
          <w:rFonts w:ascii="Times New Roman" w:hAnsi="Times New Roman" w:cs="Times New Roman"/>
          <w:sz w:val="24"/>
          <w:szCs w:val="24"/>
        </w:rPr>
        <w:t>Уярский</w:t>
      </w:r>
      <w:proofErr w:type="spellEnd"/>
      <w:r w:rsidRPr="00AA10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A105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A105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055">
        <w:rPr>
          <w:rFonts w:ascii="Times New Roman" w:hAnsi="Times New Roman" w:cs="Times New Roman"/>
          <w:sz w:val="24"/>
          <w:szCs w:val="24"/>
        </w:rPr>
        <w:t>яр</w:t>
      </w:r>
      <w:proofErr w:type="spellEnd"/>
      <w:r w:rsidRPr="00AA1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055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AA1055">
        <w:rPr>
          <w:rFonts w:ascii="Times New Roman" w:hAnsi="Times New Roman" w:cs="Times New Roman"/>
          <w:sz w:val="24"/>
          <w:szCs w:val="24"/>
        </w:rPr>
        <w:t>, д. 85.</w:t>
      </w:r>
    </w:p>
    <w:p w:rsidR="00A36790" w:rsidRPr="00AA1055" w:rsidRDefault="005778A2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A3679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ДОУ осуществляется в соответствии с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от </w:t>
      </w:r>
      <w:r w:rsidR="008A6FC8" w:rsidRPr="00AA1055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  <w:proofErr w:type="spellStart"/>
      <w:r w:rsidR="008A6FC8" w:rsidRPr="00AA1055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="008A6FC8" w:rsidRPr="00AA105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</w:t>
      </w:r>
      <w:r w:rsidR="00A3679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муниципальных обр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учреждений,</w:t>
      </w:r>
      <w:r w:rsidR="008A6FC8" w:rsidRPr="00AA10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679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реализующих образовательную программу дошкольного образования, Правилами приёма детей дошкольного возраста на </w:t>
      </w:r>
      <w:proofErr w:type="gramStart"/>
      <w:r w:rsidR="00A3679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A3679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ДОУ. Отношения между родителями воспитанников и законными представителями строятся на договорной основе.</w:t>
      </w:r>
    </w:p>
    <w:p w:rsidR="00A36790" w:rsidRPr="00AA1055" w:rsidRDefault="00A36790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укомплектовано воспитанниками на 100%, что соответствует нормативам наполняемости групп.</w:t>
      </w:r>
    </w:p>
    <w:p w:rsidR="00A36790" w:rsidRPr="00AA1055" w:rsidRDefault="00A36790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FC8" w:rsidRPr="00AA1055" w:rsidRDefault="008A6FC8" w:rsidP="003A0714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образовательной деятельности</w:t>
      </w:r>
      <w:r w:rsidR="004D0B02"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A6FC8" w:rsidRPr="00AA1055" w:rsidRDefault="008A6FC8" w:rsidP="008419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бюджетном дошкольном образовательном учреждении «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Уярский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</w:t>
      </w:r>
      <w:r w:rsidR="00577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«Планета детства» </w:t>
      </w:r>
      <w:r w:rsidR="000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структурных подразделениях 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0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функционировало 2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943" w:rsidRPr="00AA1055" w:rsidRDefault="009F6407" w:rsidP="0084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 (1,5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Start"/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8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EC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9F6407" w:rsidRPr="00AA1055" w:rsidRDefault="009F6407" w:rsidP="0084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(3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EC68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600C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уппы;</w:t>
      </w:r>
    </w:p>
    <w:p w:rsidR="009F6407" w:rsidRPr="00AA1055" w:rsidRDefault="009F6407" w:rsidP="0084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9F6407" w:rsidRPr="00AA1055" w:rsidRDefault="009F6407" w:rsidP="003A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группа(5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C689E">
        <w:rPr>
          <w:rFonts w:ascii="Times New Roman" w:eastAsia="Times New Roman" w:hAnsi="Times New Roman" w:cs="Times New Roman"/>
          <w:sz w:val="24"/>
          <w:szCs w:val="24"/>
          <w:lang w:eastAsia="ru-RU"/>
        </w:rPr>
        <w:t>)-5групп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407" w:rsidRPr="00AA1055" w:rsidRDefault="009F6407" w:rsidP="003A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(6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) -5</w:t>
      </w:r>
      <w:r w:rsidR="00EC68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</w:p>
    <w:p w:rsidR="008A6FC8" w:rsidRPr="00AA1055" w:rsidRDefault="00D53B07" w:rsidP="003A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в 2024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="008F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FC8" w:rsidRPr="00AA1055" w:rsidRDefault="005778A2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ДОУ осуществляется в соответствии с Основной образова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программой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F8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</w:t>
      </w:r>
      <w:r w:rsidR="00F8248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F8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F8248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ы» под редакцией </w:t>
      </w:r>
      <w:r w:rsidR="00BE1D7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Н.Е. </w:t>
      </w:r>
      <w:proofErr w:type="spellStart"/>
      <w:r w:rsidR="00BE1D7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BE1D7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</w:t>
      </w:r>
      <w:r w:rsidR="00BE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ДОУ.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детей, обеспечение их социальной успе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D13A06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«Планета детства»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D13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</w:t>
      </w:r>
      <w:r w:rsidR="00D13A06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фитнес»</w:t>
      </w:r>
      <w:r w:rsidR="0084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волейбол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05B72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</w:t>
      </w:r>
      <w:r w:rsidR="0011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подготовительных групп. 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ДОУ осуществляется образовательная деятельность по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образовательной программе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</w:t>
      </w:r>
      <w:r w:rsidR="00D1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учреждения</w:t>
      </w:r>
      <w:r w:rsidR="00B6394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строить систему коррекционно – развивающей работы в группах </w:t>
      </w:r>
      <w:r w:rsidR="0046105B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детей с общим недоразвитием речи. Адаптированная образовательная программа разработана на основе полного взаимодействия и преемственности всех специалистов ДОУ и родителей дошкольников. Программы соответствуют принципу развивающего образования, целью которого является развитие ребенка, принципы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процесса, построены с учетом принципа интеграции образовательных областей.</w:t>
      </w:r>
    </w:p>
    <w:p w:rsidR="008A6FC8" w:rsidRPr="00AA1055" w:rsidRDefault="00B63943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течение учебного года 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реализованы в полном объеме.</w:t>
      </w:r>
      <w:r w:rsid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8A6FC8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обучались по дополнительным программам «</w:t>
      </w:r>
      <w:proofErr w:type="spellStart"/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Юнный</w:t>
      </w:r>
      <w:proofErr w:type="spellEnd"/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шахматист», «»Подвижные игры», «Детский фитнес»</w:t>
      </w:r>
    </w:p>
    <w:p w:rsidR="008A6FC8" w:rsidRPr="00AA1055" w:rsidRDefault="008A6FC8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преемственности образования ДОУ активно взаимодействует с  </w:t>
      </w:r>
      <w:r w:rsidR="008F7531" w:rsidRPr="00AA105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МБУ ДО «</w:t>
      </w:r>
      <w:proofErr w:type="spellStart"/>
      <w:r w:rsidR="008F7531" w:rsidRPr="00AA105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Уярская</w:t>
      </w:r>
      <w:proofErr w:type="spellEnd"/>
      <w:r w:rsidR="008F7531" w:rsidRPr="00AA105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детская школа искусств»</w:t>
      </w:r>
      <w:r w:rsidRPr="00AA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47DD9" w:rsidRPr="00AA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7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-юношеской школой «Юность», Районным домом культуры, Детской библиотекой, ЦДО «Пионер</w:t>
      </w:r>
      <w:proofErr w:type="gramStart"/>
      <w:r w:rsidR="00A47DD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№40, </w:t>
      </w:r>
      <w:proofErr w:type="spellStart"/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Уярский</w:t>
      </w:r>
      <w:proofErr w:type="spellEnd"/>
      <w:r w:rsidR="00D5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сельскохозяйственный техникум».</w:t>
      </w:r>
    </w:p>
    <w:p w:rsidR="008A6FC8" w:rsidRDefault="008A6FC8" w:rsidP="009B6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функционирует в соответствии с действующим законодательством РФ.</w:t>
      </w:r>
    </w:p>
    <w:p w:rsidR="00AA1055" w:rsidRPr="00AA1055" w:rsidRDefault="00AA1055" w:rsidP="009B6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31" w:rsidRPr="00AA1055" w:rsidRDefault="008F7531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31" w:rsidRPr="001145E0" w:rsidRDefault="008F7531" w:rsidP="003A07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управления учреждением</w:t>
      </w:r>
      <w:r w:rsidR="004D0B02"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145E0" w:rsidRPr="00AA1055" w:rsidRDefault="001145E0" w:rsidP="0011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ДОУ</w:t>
      </w: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соответствии: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«О правах ребенка»,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Российской Федерации «Об образовании в Российской Федерации» №273-ФЗ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законы Российской Федерации,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 и распоряжения Президента Российской Федерации,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 распоряжения Правительства Российской Федерации,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иные правовые акты государственных органов,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о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органов управления образованием всех уровней,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ДОУ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 и нормы СанПиН</w:t>
      </w:r>
      <w:r w:rsidR="008F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от 28.09.2020г</w:t>
      </w:r>
      <w:proofErr w:type="gramStart"/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оллегиальными органами управления Учреждением являются общее собрание работников, педагогический совет.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75712A" w:rsidRPr="00AA1055" w:rsidRDefault="00D13A06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родителей (законных представителей)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действует родительский комитет ДОУ и родительские комитеты групп в ДОУ, которые принимают активное участие в обеспечении оптимальных условий для организации образовательного процесса, привлечению семей к совместным проектам и акциям в рамках реализации основной общеразвивающей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 дошкольного образования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C44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5712A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взаимоотношений ДОУ с семьями воспитанников в системе социального партнерства является неотъемлемой частью обновления работы в условиях ФГОС </w:t>
      </w: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ительский комитет функционирует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 целью учета мнения родителей (законных представителей) обучающихся и педагогических работников по 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управления Учреждением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принятии Учреждением локальных нормативных актов, затрагивающие их права и законные интересы.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:rsidR="008F7531" w:rsidRPr="00AA1055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комитет:</w:t>
      </w:r>
    </w:p>
    <w:p w:rsidR="008F7531" w:rsidRPr="00AA1055" w:rsidRDefault="003A0714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материалов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оборудования для организации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процесса;</w:t>
      </w:r>
    </w:p>
    <w:p w:rsidR="008F7531" w:rsidRPr="00AA1055" w:rsidRDefault="003A0714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8F7531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в проведении массовых воспитательных мероприятий с детьми;</w:t>
      </w:r>
    </w:p>
    <w:p w:rsidR="008F7531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ДОУ к новому учебному году;</w:t>
      </w:r>
    </w:p>
    <w:p w:rsidR="008F7531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руководством ДОУ контролирует организац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качественного питания детей,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обслуживания;</w:t>
      </w:r>
    </w:p>
    <w:p w:rsidR="008F7531" w:rsidRPr="00AA1055" w:rsidRDefault="003A0714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помощь руководству ДОУ в организации и 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общего родительского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собрания;</w:t>
      </w:r>
    </w:p>
    <w:p w:rsidR="008F7531" w:rsidRPr="00AA1055" w:rsidRDefault="003A0714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организации безопасных условий 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образовательного 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выполнения санитар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но-гигиенических правил и норм;</w:t>
      </w:r>
    </w:p>
    <w:p w:rsidR="008F7531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531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общественными организациями по вопросу пропаганды традиций ДОУ.</w:t>
      </w:r>
    </w:p>
    <w:p w:rsidR="008F7531" w:rsidRPr="00DA2F7D" w:rsidRDefault="008F7531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  <w:r w:rsidR="00DA2F7D" w:rsidRPr="00DA2F7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A2F7D" w:rsidRPr="00DA2F7D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="00DA2F7D" w:rsidRPr="00DA2F7D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DA2F7D" w:rsidRPr="00DA2F7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DA2F7D" w:rsidRPr="00DA2F7D">
        <w:rPr>
          <w:rFonts w:ascii="Times New Roman" w:hAnsi="Times New Roman"/>
          <w:sz w:val="24"/>
          <w:szCs w:val="24"/>
          <w:lang w:eastAsia="ru-RU"/>
        </w:rPr>
        <w:t>основной</w:t>
      </w:r>
      <w:proofErr w:type="gramEnd"/>
      <w:r w:rsidR="00DA2F7D" w:rsidRPr="00DA2F7D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программой дошкольного образования.</w:t>
      </w:r>
    </w:p>
    <w:p w:rsidR="008F7531" w:rsidRPr="00DA2F7D" w:rsidRDefault="008F7531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2A" w:rsidRPr="00AA1055" w:rsidRDefault="0075712A" w:rsidP="003A071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качество подготовки воспитанников.</w:t>
      </w:r>
    </w:p>
    <w:p w:rsidR="001145E0" w:rsidRDefault="001145E0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2A" w:rsidRPr="00AA1055" w:rsidRDefault="0075712A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педагогического наблюдения выпускники ДОУ имеют следующие уровни готовности к обучению в школе: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 выпускников ДОУ освоили образовательную программу  дошкольного образования на высоком и среднем уровне;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отметить, что большинство детей </w:t>
      </w: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в школе.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учебног</w:t>
      </w:r>
      <w:r w:rsidR="0079547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года все дети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правильной речью. Достижение цели обеспечивается постановкой широкого круга образовательных, воспитательных, коррекционных и развивающих задач, решением которых осуществляется учителем – логопедом, воспитателями, музыкальным руководителем  на индивидуальных и фронтальных занятиях, а также созданием единого речевого пространства в детском саду.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участвовали </w:t>
      </w:r>
      <w:r w:rsidR="00305B7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дистанционном формате) и занима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призовые места в</w:t>
      </w:r>
      <w:r w:rsidR="0079547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муниципального, краевого, международного, всероссийского уровня.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травматизма </w:t>
      </w:r>
      <w:r w:rsidR="00DA2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и сотрудников в 2024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зарегистрировано.</w:t>
      </w:r>
    </w:p>
    <w:p w:rsidR="0075712A" w:rsidRPr="00AA1055" w:rsidRDefault="00CB1967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выпускников: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="0079547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выпускников составило: </w:t>
      </w:r>
      <w:r w:rsidR="00DA2F7D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BD2C2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04E06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2C2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стали учениками МБОУ С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№ </w:t>
      </w:r>
      <w:r w:rsidR="0079547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C2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40, МБОУ СОШ № 2, МБОУ С</w:t>
      </w:r>
      <w:r w:rsidR="0079547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4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качество подготовки воспитанников соответствует требованиям основной и адаптированной программам дошкольного образования.</w:t>
      </w:r>
    </w:p>
    <w:p w:rsidR="00EE0D5E" w:rsidRPr="00AA1055" w:rsidRDefault="00EE0D5E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2A" w:rsidRPr="00AA1055" w:rsidRDefault="0075712A" w:rsidP="003A071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</w:t>
      </w:r>
      <w:r w:rsidR="004D0B02"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712A" w:rsidRPr="00AA1055" w:rsidRDefault="0075712A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используются следующие педагогические технологии: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75712A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технологии,</w:t>
      </w:r>
    </w:p>
    <w:p w:rsidR="0075712A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деятельность,</w:t>
      </w:r>
    </w:p>
    <w:p w:rsidR="0075712A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обучение,</w:t>
      </w:r>
    </w:p>
    <w:p w:rsidR="0075712A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75712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Взаимодействуя с семьями воспитанников для более качеств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воспитания и образования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75712A" w:rsidRPr="00AA1055" w:rsidRDefault="0075712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75712A" w:rsidRPr="00AA1055" w:rsidRDefault="0075712A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9E" w:rsidRPr="00AA1055" w:rsidRDefault="004D0B02" w:rsidP="003A071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кадрового, учебно–</w:t>
      </w:r>
      <w:r w:rsidR="000A049E"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методического обеспечения, </w:t>
      </w: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0A049E"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</w:t>
      </w: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обеспечения</w:t>
      </w:r>
      <w:r w:rsidR="000A049E"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</w:t>
      </w:r>
      <w:r w:rsidR="008F03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педагогическими кадрами – 9</w:t>
      </w:r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0A049E" w:rsidRPr="00AA1055" w:rsidRDefault="00EF6468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раб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отают 42</w:t>
      </w:r>
      <w:r w:rsidR="0016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</w:t>
      </w:r>
      <w:r w:rsidR="00D1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2C2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специалисты:  учителя-логопеды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2C23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</w:t>
      </w:r>
      <w:r w:rsidR="00A316E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учитель-дефектолог,</w:t>
      </w:r>
      <w:r w:rsidR="00A316E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руководители, инструкторы по физической культуре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 (помощник) по оказанию помощи.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уровень педагогов: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="003A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–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>20 ч – 46</w:t>
      </w:r>
      <w:r w:rsidR="00A316E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профессиональное –22 ч-54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  педагогов.</w:t>
      </w:r>
    </w:p>
    <w:p w:rsidR="000A049E" w:rsidRPr="00AA1055" w:rsidRDefault="003A0714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квалификационных категорий педагогов: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высша</w:t>
      </w:r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квалификационная категория 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>–5</w:t>
      </w:r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педагогов,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квалификацио</w:t>
      </w:r>
      <w:r w:rsidR="00A316E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категория –</w:t>
      </w:r>
      <w:r w:rsidR="008D4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6EA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педагогов,</w:t>
      </w:r>
    </w:p>
    <w:p w:rsidR="00A316EA" w:rsidRPr="00AA1055" w:rsidRDefault="00A316EA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соответствует квалификационным требованиям </w:t>
      </w:r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16F60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повышают </w:t>
      </w:r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уровень с выездом</w:t>
      </w:r>
      <w:r w:rsidR="00F8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ИПК г</w:t>
      </w:r>
      <w:proofErr w:type="gramStart"/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97269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расноярск, а также дистанционно.</w:t>
      </w:r>
      <w:r w:rsidR="00197269" w:rsidRPr="00AA10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ДОУ принимали участие в муниципальных семинарах, методических объединениях.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 методический кабинет.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 – методическое обеспечение, и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учебно – методической литературы и электронно – образовательными ресурсами.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0A049E" w:rsidRPr="00AA1055" w:rsidRDefault="000A049E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9E" w:rsidRPr="00AA1055" w:rsidRDefault="000A049E" w:rsidP="003A07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материально – технической базы.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9E" w:rsidRPr="00AA1055" w:rsidRDefault="000A049E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обеспечение соответствует требованиям, предъявляемым к зданию и помещениям ДОУ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«Планета детства»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двух структурных подразделениях  </w:t>
      </w:r>
      <w:proofErr w:type="gramStart"/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</w:t>
      </w:r>
      <w:proofErr w:type="gramEnd"/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спортивный за совмещен, в двух структурных подразделениях  музыкального и спортивного зала не имеется.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 – 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стабильности и динамичности; требованиям обеспечения процессов присмотра и ухода за детьми.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нарушением речи, приоритетному направлению деятельности (физическое развитие детей).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оснащение групповых помещений и методического кабинета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«Планета детства»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СанПиН, эстетическим требованиям, соответствует принципу необходимости и достаточности для реализации основной общеразвивающей программы ДОУ.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учителя-логопеда</w:t>
      </w:r>
      <w:r w:rsidR="005A3AED" w:rsidRP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«Планета детства»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гигиеническим требованиям. Учтен принцип необходимости и достаточности для реализации адаптированной общеразвивающей программы ДОУ с осуществлением квалифицированной коррекции недостатков речи детей.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спортивный 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AED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«Планета детства»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гигиеническим и эстетическим требованиям, а также принципу необходимости и достаточности для реализации основной общеразвивающей программы ДОУ.</w:t>
      </w:r>
    </w:p>
    <w:p w:rsidR="000A049E" w:rsidRPr="00AA1055" w:rsidRDefault="005A3AED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структурных подразделениях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</w:t>
      </w:r>
      <w:r w:rsidR="000A049E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объеме.</w:t>
      </w:r>
      <w:proofErr w:type="gramEnd"/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 – техниче</w:t>
      </w:r>
      <w:r w:rsidR="005A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база ДОУ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</w:t>
      </w:r>
      <w:r w:rsidR="004D0B02"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участков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хорошем состоянии, постоянно пополняется</w:t>
      </w:r>
    </w:p>
    <w:p w:rsidR="000A049E" w:rsidRPr="00AA1055" w:rsidRDefault="000A049E" w:rsidP="003A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9E" w:rsidRPr="00AA1055" w:rsidRDefault="000A049E" w:rsidP="003A07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образования.</w:t>
      </w:r>
    </w:p>
    <w:p w:rsidR="000A049E" w:rsidRPr="00AA1055" w:rsidRDefault="000A049E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9E" w:rsidRPr="00AA1055" w:rsidRDefault="000A049E" w:rsidP="003A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системы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A049E" w:rsidRPr="00AA1055" w:rsidRDefault="000A049E" w:rsidP="003A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7B09A0" w:rsidRPr="00AA1055" w:rsidRDefault="000A049E" w:rsidP="00AA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8F03AD" w:rsidRPr="00AA1055" w:rsidRDefault="007B09A0" w:rsidP="00C57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мониторинга – определить степень освоения ребенком основной образовательной программы дошкольного образования МБДОУ 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Уярский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«Планета детства», составленной на основе инновационной программы дошкольного образования «От рождения до школы» (под ред. Н.Е. 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Дорофеевой) и влияние образовательного процесса, организуемого в дошкольном учреждении, на развитие ребенка.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годового плана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проведён мониторинг результатов освоения программного материала воспитанниками по пяти образовательным областям. Сбор информации основан на использовании следующих </w:t>
      </w:r>
      <w:proofErr w:type="spell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истематические</w:t>
      </w:r>
      <w:proofErr w:type="spell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за деятельностью ребенка организация специальной игровой деятельности получение ответов на поставленные задачи через педагогические ситуации анализ продуктов детской деятельности анализ процесса деятельности индивидуальная беседа с ребенком</w:t>
      </w:r>
      <w:r w:rsidR="00BE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мониторинга – диагностическая карта.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был провед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в каждой возрастной группе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осуществлялся воспитателями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проводилась диагностика по осно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вным направлениям программы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ДОУ:— социально-коммуникативное развитие; 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познавательное развитие; 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речевое развитие; 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художественно-эстетическое развитие; 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физическое развитие.</w:t>
      </w:r>
      <w:r w:rsidR="0083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3AD" w:rsidRDefault="007B09A0" w:rsidP="008F03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осуществлялся через отслеживание результатов освоения образовательной программы. Диагностика оценивалась тремя уровнями: </w:t>
      </w: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средний, низкий.                                                                                                </w:t>
      </w:r>
    </w:p>
    <w:p w:rsidR="00C575BF" w:rsidRDefault="007B09A0" w:rsidP="00C575B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A105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Высокий уровень - ребенок выполняет все параметры оценки самостоятельно. </w:t>
      </w:r>
      <w:r w:rsidRPr="00AA1055">
        <w:rPr>
          <w:rFonts w:ascii="Times New Roman" w:eastAsia="Times New Roman" w:hAnsi="Times New Roman"/>
          <w:sz w:val="24"/>
          <w:szCs w:val="24"/>
          <w:lang w:eastAsia="ru-RU"/>
        </w:rPr>
        <w:br/>
        <w:t>средний уровен</w:t>
      </w:r>
      <w:proofErr w:type="gramStart"/>
      <w:r w:rsidRPr="00AA1055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AA105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выполняет все параметры оценки с частичной помощью взрослого; </w:t>
      </w:r>
      <w:r w:rsidRPr="00AA1055">
        <w:rPr>
          <w:rFonts w:ascii="Times New Roman" w:eastAsia="Times New Roman" w:hAnsi="Times New Roman"/>
          <w:sz w:val="24"/>
          <w:szCs w:val="24"/>
          <w:lang w:eastAsia="ru-RU"/>
        </w:rPr>
        <w:br/>
        <w:t>низкий уровень - ребенок не может выполнить все параметры оценки, помощь взрослого не принимает.</w:t>
      </w:r>
      <w:r w:rsidR="00AA1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1055">
        <w:rPr>
          <w:rFonts w:ascii="Times New Roman" w:hAnsi="Times New Roman"/>
          <w:sz w:val="24"/>
          <w:szCs w:val="24"/>
        </w:rPr>
        <w:t>Форма организации мониторинга – данная программа позволила нам систематизировать информацию о ребенке, создать его образ, прогнозировать зону его актуального и ближайшего развития. Результаты педагогической диагностики (мониторинга) могут использоваться для решения следующих образовательных задач, обозначенных ФГОС ДО (П.3.2.3):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 Результаты мониторинга каждой группы различны. На это сказывается и общее физическое развитие детей, психическое, общая подготовленность детей, но и также уровень качества преподнесения знаний детям воспитателями. В целом наблюдается положительная динамика освоения образовательных областей детьми при подв</w:t>
      </w:r>
      <w:r w:rsidR="00A671E1">
        <w:rPr>
          <w:rFonts w:ascii="Times New Roman" w:hAnsi="Times New Roman"/>
          <w:sz w:val="24"/>
          <w:szCs w:val="24"/>
        </w:rPr>
        <w:t>едении общих результатов за 2023-2024</w:t>
      </w:r>
      <w:r w:rsidRPr="00AA1055">
        <w:rPr>
          <w:rFonts w:ascii="Times New Roman" w:hAnsi="Times New Roman"/>
          <w:sz w:val="24"/>
          <w:szCs w:val="24"/>
        </w:rPr>
        <w:t xml:space="preserve"> учебный год.</w:t>
      </w:r>
      <w:r w:rsidR="0083033D">
        <w:rPr>
          <w:rFonts w:ascii="Times New Roman" w:hAnsi="Times New Roman"/>
          <w:sz w:val="24"/>
          <w:szCs w:val="24"/>
        </w:rPr>
        <w:t xml:space="preserve"> </w:t>
      </w:r>
    </w:p>
    <w:p w:rsidR="00C575BF" w:rsidRPr="00C575BF" w:rsidRDefault="00C575BF" w:rsidP="00C575BF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75BF">
        <w:rPr>
          <w:rFonts w:ascii="Times New Roman" w:hAnsi="Times New Roman"/>
          <w:b/>
          <w:sz w:val="24"/>
          <w:szCs w:val="24"/>
        </w:rPr>
        <w:lastRenderedPageBreak/>
        <w:t xml:space="preserve">Вывод: </w:t>
      </w:r>
      <w:r w:rsidRPr="00C575BF">
        <w:rPr>
          <w:rFonts w:ascii="Times New Roman" w:hAnsi="Times New Roman"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A671E1" w:rsidRPr="00A671E1" w:rsidRDefault="00C575BF" w:rsidP="00A671E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5BF">
        <w:rPr>
          <w:rFonts w:ascii="Times New Roman" w:hAnsi="Times New Roman"/>
          <w:sz w:val="24"/>
          <w:szCs w:val="24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требованиями.</w:t>
      </w:r>
      <w:r w:rsidR="00A671E1" w:rsidRPr="00D16D4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671E1" w:rsidRPr="00A671E1">
        <w:rPr>
          <w:rFonts w:ascii="Times New Roman" w:hAnsi="Times New Roman"/>
          <w:sz w:val="24"/>
          <w:szCs w:val="24"/>
          <w:lang w:eastAsia="ru-RU"/>
        </w:rPr>
        <w:t>В ДОУ создана функциональная, соответствующая законодательным и нормативным требованиям внутренняя  система оценки качества, позволяющая своевременно корректировать различные направления деятельности ДОУ.</w:t>
      </w:r>
    </w:p>
    <w:p w:rsidR="00C575BF" w:rsidRPr="00C575BF" w:rsidRDefault="00C575BF" w:rsidP="00C575B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9A0" w:rsidRPr="008F03AD" w:rsidRDefault="007B09A0" w:rsidP="008F03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055">
        <w:rPr>
          <w:rFonts w:ascii="Times New Roman" w:hAnsi="Times New Roman" w:cs="Times New Roman"/>
          <w:sz w:val="24"/>
          <w:szCs w:val="24"/>
        </w:rPr>
        <w:t xml:space="preserve">По итогам мониторинга качества образования (через реализацию образовательных областей) выявлены следующие результаты: </w:t>
      </w:r>
    </w:p>
    <w:p w:rsidR="007B09A0" w:rsidRDefault="007B09A0" w:rsidP="007B09A0">
      <w:pPr>
        <w:shd w:val="clear" w:color="auto" w:fill="FFFFFF"/>
        <w:spacing w:after="375"/>
        <w:rPr>
          <w:rFonts w:ascii="Times New Roman" w:hAnsi="Times New Roman" w:cs="Times New Roman"/>
          <w:sz w:val="28"/>
          <w:szCs w:val="28"/>
        </w:rPr>
        <w:sectPr w:rsidR="007B09A0" w:rsidSect="00BE1D7A">
          <w:footerReference w:type="default" r:id="rId10"/>
          <w:pgSz w:w="16838" w:h="11906" w:orient="landscape"/>
          <w:pgMar w:top="426" w:right="1245" w:bottom="0" w:left="1134" w:header="709" w:footer="709" w:gutter="0"/>
          <w:cols w:space="708"/>
          <w:docGrid w:linePitch="360"/>
        </w:sectPr>
      </w:pPr>
    </w:p>
    <w:p w:rsidR="007B09A0" w:rsidRPr="000D5B2A" w:rsidRDefault="007B09A0" w:rsidP="00AA1055">
      <w:pPr>
        <w:shd w:val="clear" w:color="auto" w:fill="FFFFFF"/>
        <w:spacing w:after="3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B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Сводная таблица мониторинга</w:t>
      </w:r>
      <w:r w:rsidR="00BE1D7A">
        <w:rPr>
          <w:rFonts w:ascii="Times New Roman" w:eastAsia="Calibri" w:hAnsi="Times New Roman" w:cs="Times New Roman"/>
          <w:b/>
          <w:sz w:val="28"/>
          <w:szCs w:val="28"/>
        </w:rPr>
        <w:t xml:space="preserve"> (показатели по всем учреждениям)</w:t>
      </w:r>
    </w:p>
    <w:tbl>
      <w:tblPr>
        <w:tblStyle w:val="a9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2268"/>
        <w:gridCol w:w="1134"/>
        <w:gridCol w:w="992"/>
        <w:gridCol w:w="993"/>
        <w:gridCol w:w="992"/>
        <w:gridCol w:w="992"/>
        <w:gridCol w:w="851"/>
        <w:gridCol w:w="992"/>
        <w:gridCol w:w="850"/>
        <w:gridCol w:w="993"/>
        <w:gridCol w:w="816"/>
      </w:tblGrid>
      <w:tr w:rsidR="007B09A0" w:rsidRPr="000D5B2A" w:rsidTr="0035529C">
        <w:trPr>
          <w:trHeight w:val="265"/>
        </w:trPr>
        <w:tc>
          <w:tcPr>
            <w:tcW w:w="4145" w:type="dxa"/>
            <w:vMerge w:val="restart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68" w:type="dxa"/>
            <w:vMerge w:val="restart"/>
          </w:tcPr>
          <w:p w:rsidR="007B09A0" w:rsidRDefault="007B09A0" w:rsidP="00355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5" w:type="dxa"/>
            <w:gridSpan w:val="10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7B09A0" w:rsidRPr="000D5B2A" w:rsidTr="0035529C">
        <w:trPr>
          <w:trHeight w:val="884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5" w:type="dxa"/>
            <w:gridSpan w:val="2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3" w:type="dxa"/>
            <w:gridSpan w:val="2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42" w:type="dxa"/>
            <w:gridSpan w:val="2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809" w:type="dxa"/>
            <w:gridSpan w:val="2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5B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7B09A0" w:rsidRPr="000D5B2A" w:rsidTr="0035529C">
        <w:trPr>
          <w:trHeight w:val="474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992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993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992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992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992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850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993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816" w:type="dxa"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Конец года</w:t>
            </w:r>
          </w:p>
        </w:tc>
      </w:tr>
      <w:tr w:rsidR="007B09A0" w:rsidRPr="000D5B2A" w:rsidTr="007B09A0">
        <w:trPr>
          <w:trHeight w:val="284"/>
        </w:trPr>
        <w:tc>
          <w:tcPr>
            <w:tcW w:w="4145" w:type="dxa"/>
            <w:vMerge w:val="restart"/>
          </w:tcPr>
          <w:p w:rsidR="007B09A0" w:rsidRPr="000D5B2A" w:rsidRDefault="007B09A0" w:rsidP="0035529C">
            <w:pPr>
              <w:rPr>
                <w:rFonts w:ascii="Times New Roman" w:eastAsia="Calibri" w:hAnsi="Times New Roman" w:cs="Times New Roman"/>
                <w:b/>
              </w:rPr>
            </w:pPr>
            <w:r w:rsidRPr="00F74DA2">
              <w:rPr>
                <w:rFonts w:ascii="Times New Roman" w:eastAsia="Calibri" w:hAnsi="Times New Roman" w:cs="Times New Roman"/>
                <w:b/>
              </w:rPr>
              <w:t xml:space="preserve">1 младшая группа </w:t>
            </w: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</w:tr>
      <w:tr w:rsidR="007B09A0" w:rsidRPr="000D5B2A" w:rsidTr="007B09A0">
        <w:trPr>
          <w:trHeight w:val="340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ind w:left="9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ind w:left="-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ind w:left="-1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ind w:left="-1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ind w:left="-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ind w:left="-1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66%</w:t>
            </w:r>
          </w:p>
        </w:tc>
      </w:tr>
      <w:tr w:rsidR="007B09A0" w:rsidRPr="000D5B2A" w:rsidTr="007B09A0">
        <w:trPr>
          <w:trHeight w:val="340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ind w:left="9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ind w:left="-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ind w:left="-1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ind w:left="-1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ind w:left="-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ind w:left="-1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11%</w:t>
            </w:r>
          </w:p>
        </w:tc>
      </w:tr>
      <w:tr w:rsidR="007B09A0" w:rsidRPr="000D5B2A" w:rsidTr="007B09A0">
        <w:trPr>
          <w:trHeight w:val="340"/>
        </w:trPr>
        <w:tc>
          <w:tcPr>
            <w:tcW w:w="4145" w:type="dxa"/>
            <w:vMerge w:val="restart"/>
          </w:tcPr>
          <w:p w:rsidR="007B09A0" w:rsidRPr="000D5B2A" w:rsidRDefault="007B09A0" w:rsidP="00355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</w:tr>
      <w:tr w:rsidR="007B09A0" w:rsidRPr="000D5B2A" w:rsidTr="007B09A0">
        <w:trPr>
          <w:trHeight w:val="340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95%</w:t>
            </w:r>
          </w:p>
        </w:tc>
      </w:tr>
      <w:tr w:rsidR="007B09A0" w:rsidRPr="000D5B2A" w:rsidTr="007B09A0">
        <w:trPr>
          <w:trHeight w:val="340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 w:val="restart"/>
          </w:tcPr>
          <w:p w:rsidR="007B09A0" w:rsidRPr="000D5B2A" w:rsidRDefault="007B09A0" w:rsidP="00355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</w:t>
            </w:r>
            <w:r w:rsidR="00BE1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7B09A0" w:rsidRPr="000D5B2A" w:rsidRDefault="007B09A0" w:rsidP="0035529C">
            <w:pPr>
              <w:ind w:firstLine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78%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3552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851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992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850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993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816" w:type="dxa"/>
          </w:tcPr>
          <w:p w:rsidR="007B09A0" w:rsidRPr="00BE1D7A" w:rsidRDefault="007B09A0" w:rsidP="003552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 w:val="restart"/>
          </w:tcPr>
          <w:p w:rsidR="007B09A0" w:rsidRPr="000D5B2A" w:rsidRDefault="007B09A0" w:rsidP="007B09A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</w:t>
            </w:r>
            <w:r w:rsidR="00BE1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25%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71%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 w:val="restart"/>
          </w:tcPr>
          <w:p w:rsidR="007B09A0" w:rsidRPr="000D5B2A" w:rsidRDefault="007B09A0" w:rsidP="007B09A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</w:t>
            </w:r>
            <w:r w:rsidR="00BE1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71%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29%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 w:val="restart"/>
          </w:tcPr>
          <w:p w:rsidR="007B09A0" w:rsidRPr="000D5B2A" w:rsidRDefault="007B09A0" w:rsidP="007B09A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результат</w:t>
            </w:r>
          </w:p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50%</w:t>
            </w:r>
          </w:p>
        </w:tc>
      </w:tr>
      <w:tr w:rsidR="007B09A0" w:rsidRPr="000D5B2A" w:rsidTr="007B09A0">
        <w:trPr>
          <w:trHeight w:val="420"/>
        </w:trPr>
        <w:tc>
          <w:tcPr>
            <w:tcW w:w="4145" w:type="dxa"/>
            <w:vMerge/>
          </w:tcPr>
          <w:p w:rsidR="007B09A0" w:rsidRPr="000D5B2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9A0" w:rsidRPr="00BE1D7A" w:rsidRDefault="007B09A0" w:rsidP="007B09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851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17%</w:t>
            </w:r>
          </w:p>
        </w:tc>
        <w:tc>
          <w:tcPr>
            <w:tcW w:w="992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36%</w:t>
            </w:r>
          </w:p>
        </w:tc>
        <w:tc>
          <w:tcPr>
            <w:tcW w:w="850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993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816" w:type="dxa"/>
          </w:tcPr>
          <w:p w:rsidR="007B09A0" w:rsidRPr="00BE1D7A" w:rsidRDefault="007B09A0" w:rsidP="007B09A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12%</w:t>
            </w:r>
          </w:p>
        </w:tc>
      </w:tr>
    </w:tbl>
    <w:p w:rsidR="00AC185F" w:rsidRPr="00ED65BF" w:rsidRDefault="00AC185F" w:rsidP="0035529C">
      <w:pPr>
        <w:shd w:val="clear" w:color="auto" w:fill="FFFFFF"/>
        <w:spacing w:after="375"/>
        <w:rPr>
          <w:rFonts w:ascii="Times New Roman" w:hAnsi="Times New Roman" w:cs="Times New Roman"/>
          <w:sz w:val="24"/>
          <w:szCs w:val="24"/>
        </w:rPr>
        <w:sectPr w:rsidR="00AC185F" w:rsidRPr="00ED65BF" w:rsidSect="00BE1D7A">
          <w:pgSz w:w="16838" w:h="11906" w:orient="landscape"/>
          <w:pgMar w:top="284" w:right="709" w:bottom="426" w:left="425" w:header="709" w:footer="709" w:gutter="0"/>
          <w:cols w:space="708"/>
          <w:docGrid w:linePitch="360"/>
        </w:sectPr>
      </w:pP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Программный материал по образовательным областям освоен воспитанниками всех возрастных групп в целом на среднем уровне. По итогам мониторинга воспитанники МБДОУ показали в основном положительный результат освоения программного материала. Наиболее высокие результаты у детей старших групп и подготовительных к школе групп, наиболее низкие показатели у детей первых и вторых младших групп.</w:t>
      </w:r>
    </w:p>
    <w:p w:rsidR="0035529C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качества образования (через реализацию </w:t>
      </w:r>
      <w:r w:rsidR="008F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областей) в 2022 -2023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выявлены следующие результаты:</w:t>
      </w:r>
      <w:r w:rsidR="0035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 итогов</w:t>
      </w:r>
      <w:r w:rsidR="0035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показатель в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года:  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2</w:t>
      </w:r>
      <w:r w:rsidR="001617D7">
        <w:rPr>
          <w:rFonts w:ascii="Times New Roman" w:eastAsia="Times New Roman" w:hAnsi="Times New Roman" w:cs="Times New Roman"/>
          <w:sz w:val="24"/>
          <w:szCs w:val="24"/>
          <w:lang w:eastAsia="ru-RU"/>
        </w:rPr>
        <w:t>5%Средний уровень: 44%Низкий уровень: 31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Конец  года:   </w:t>
      </w:r>
      <w:r w:rsidR="0016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42%Средний уровень: 55%Низкий уровень: 3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35529C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образовательной области «Познавательное развитие» освоен воспитанниками всех возрастных г</w:t>
      </w:r>
      <w:r w:rsidR="0035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 также на среднем уровне. 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года:      </w:t>
      </w:r>
      <w:r w:rsidR="0016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20%Средний уровень: 45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%Низкий уровень: 35%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Конец  года:     </w:t>
      </w:r>
      <w:r w:rsidR="0016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47%Средний уровень: 51%Низкий уровень: 2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35529C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показателей освоения детьми программного материала образовательной области «Речевое развитие» находится в основном на среднем уровне. Наиболее высокие результаты у детей старших и подготовительных к школе групп.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года:  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уровень:18%Средний уровень: 41%Низкий уровень: 41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Конец  года:   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36%Средний уровень: 52%Низкий уровень: 12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35529C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показателей динамики освоения программного материала по образовательной области «художественно-эстетическое развитие» находится на среднем уровне.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года:    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овень:18%Средний уровень: 43%Низкий уровень: 39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Конец  года:     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32%Средний уровень: 49%Низкий уровень: 19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35529C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Также на среднем уровне освоен дошкольниками программный материал по образовательной области «Физическое развитие». Высокие результаты показали воспитанники старшей и подготовительной к школе группы, наиболее низкие результаты в первой младшей группе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года:  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21%Средний уровень: 48%Низкий уровень: 31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Конец  года:  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41%Средний уровень: 53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%Низкий у</w:t>
      </w:r>
      <w:r w:rsidR="008C2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ровень: 6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мониторинга освоения программного материала дет</w:t>
      </w:r>
      <w:r w:rsidR="008F03AD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всех возрастных групп в 2022 – 2023</w:t>
      </w: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показали в основном средний уровень. </w:t>
      </w:r>
      <w:proofErr w:type="gramStart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высокие результаты, у детей старшей и подготовительных к школе групп.</w:t>
      </w:r>
      <w:proofErr w:type="gramEnd"/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низкие результаты в группах раннего возраста.                                                                                                                          </w:t>
      </w:r>
    </w:p>
    <w:p w:rsidR="007B09A0" w:rsidRPr="00AA1055" w:rsidRDefault="007B09A0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данного мониторинга помогут педагогам определить дифференцированный подход к каждому ребёнку и разработать индивидуальный маршрут коррекционно-развивающих занятий в подборе форм организации, методов и приёмов воспитания и развития.</w:t>
      </w:r>
    </w:p>
    <w:p w:rsidR="00A671E1" w:rsidRPr="00A671E1" w:rsidRDefault="007B09A0" w:rsidP="00A671E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A1055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AA1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1E1" w:rsidRPr="00A671E1"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 w:rsidR="00A671E1" w:rsidRPr="00A671E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A671E1" w:rsidRPr="00A671E1">
        <w:rPr>
          <w:rFonts w:ascii="Times New Roman" w:hAnsi="Times New Roman"/>
          <w:sz w:val="24"/>
          <w:szCs w:val="24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:rsidR="00A671E1" w:rsidRPr="00A671E1" w:rsidRDefault="00A671E1" w:rsidP="00A671E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A671E1" w:rsidRPr="00A671E1" w:rsidRDefault="00A671E1" w:rsidP="00A671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671E1">
        <w:rPr>
          <w:rFonts w:ascii="Times New Roman" w:hAnsi="Times New Roman"/>
          <w:bCs/>
          <w:sz w:val="24"/>
          <w:szCs w:val="24"/>
        </w:rPr>
        <w:t>п</w:t>
      </w:r>
      <w:r w:rsidRPr="00A671E1">
        <w:rPr>
          <w:rFonts w:ascii="Times New Roman" w:hAnsi="Times New Roman"/>
          <w:sz w:val="24"/>
          <w:szCs w:val="24"/>
        </w:rPr>
        <w:t xml:space="preserve">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A671E1">
        <w:rPr>
          <w:rFonts w:ascii="Times New Roman" w:hAnsi="Times New Roman"/>
          <w:sz w:val="24"/>
          <w:szCs w:val="24"/>
        </w:rPr>
        <w:t>ДО</w:t>
      </w:r>
      <w:proofErr w:type="gramEnd"/>
      <w:r w:rsidRPr="00A671E1">
        <w:rPr>
          <w:rFonts w:ascii="Times New Roman" w:hAnsi="Times New Roman"/>
          <w:sz w:val="24"/>
          <w:szCs w:val="24"/>
        </w:rPr>
        <w:t xml:space="preserve">. </w:t>
      </w:r>
    </w:p>
    <w:p w:rsidR="00A671E1" w:rsidRPr="00A671E1" w:rsidRDefault="00A671E1" w:rsidP="00A671E1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A671E1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A671E1" w:rsidRPr="00A671E1" w:rsidRDefault="00A671E1" w:rsidP="00A671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sz w:val="24"/>
          <w:szCs w:val="24"/>
        </w:rPr>
        <w:t xml:space="preserve">1. Обеспечить развитие кадрового потенциала в процессе дальнейшей работы по ФГОС </w:t>
      </w:r>
      <w:proofErr w:type="gramStart"/>
      <w:r w:rsidRPr="00A671E1">
        <w:rPr>
          <w:rFonts w:ascii="Times New Roman" w:hAnsi="Times New Roman"/>
          <w:sz w:val="24"/>
          <w:szCs w:val="24"/>
        </w:rPr>
        <w:t>ДО</w:t>
      </w:r>
      <w:proofErr w:type="gramEnd"/>
      <w:r w:rsidRPr="00A671E1">
        <w:rPr>
          <w:rFonts w:ascii="Times New Roman" w:hAnsi="Times New Roman"/>
          <w:sz w:val="24"/>
          <w:szCs w:val="24"/>
        </w:rPr>
        <w:t xml:space="preserve"> через:</w:t>
      </w:r>
    </w:p>
    <w:p w:rsidR="00A671E1" w:rsidRPr="00A671E1" w:rsidRDefault="00A671E1" w:rsidP="00A671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sz w:val="24"/>
          <w:szCs w:val="24"/>
        </w:rPr>
        <w:lastRenderedPageBreak/>
        <w:t>-  использование активных форм методической работы: самообразование, сетевое     взаимодействие, мастер-классы, обучающие семинары, открытые просмотры;</w:t>
      </w:r>
    </w:p>
    <w:p w:rsidR="00A671E1" w:rsidRPr="00A671E1" w:rsidRDefault="00A671E1" w:rsidP="00A671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sz w:val="24"/>
          <w:szCs w:val="24"/>
        </w:rPr>
        <w:t>-      повышение квалификации на курсах;</w:t>
      </w:r>
    </w:p>
    <w:p w:rsidR="00A671E1" w:rsidRPr="00A671E1" w:rsidRDefault="00A671E1" w:rsidP="00A671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sz w:val="24"/>
          <w:szCs w:val="24"/>
        </w:rPr>
        <w:t>-      прохождение процедуры аттестации.</w:t>
      </w:r>
    </w:p>
    <w:p w:rsidR="00A671E1" w:rsidRPr="00A671E1" w:rsidRDefault="00A671E1" w:rsidP="00A671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671E1">
        <w:rPr>
          <w:rFonts w:ascii="Times New Roman" w:hAnsi="Times New Roman"/>
          <w:sz w:val="24"/>
          <w:szCs w:val="24"/>
        </w:rPr>
        <w:t>2.  Организация ООД с точки зрения баланса обучения и развития (новый взгляд на занятие).</w:t>
      </w:r>
    </w:p>
    <w:p w:rsidR="00A671E1" w:rsidRPr="00A671E1" w:rsidRDefault="00A671E1" w:rsidP="00A67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B09A0" w:rsidRP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целенаправленную работу по повышению качества освоения программного материа</w:t>
      </w:r>
      <w:r w:rsidR="0035529C" w:rsidRP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по образовательным областям.</w:t>
      </w:r>
      <w:r w:rsidR="007B09A0" w:rsidRP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4. </w:t>
      </w:r>
      <w:r w:rsidR="007B09A0" w:rsidRPr="00A6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организованно образовательной деятельности учитывать результаты мониторинга.                                                                                                     </w:t>
      </w:r>
    </w:p>
    <w:p w:rsidR="00C47474" w:rsidRPr="00A671E1" w:rsidRDefault="00C47474" w:rsidP="008F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7474" w:rsidRPr="00A671E1" w:rsidSect="00AA1055">
      <w:pgSz w:w="16838" w:h="11906" w:orient="landscape"/>
      <w:pgMar w:top="709" w:right="42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C8" w:rsidRDefault="00E071C8" w:rsidP="00660911">
      <w:pPr>
        <w:spacing w:after="0" w:line="240" w:lineRule="auto"/>
      </w:pPr>
      <w:r>
        <w:separator/>
      </w:r>
    </w:p>
  </w:endnote>
  <w:endnote w:type="continuationSeparator" w:id="0">
    <w:p w:rsidR="00E071C8" w:rsidRDefault="00E071C8" w:rsidP="0066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816"/>
      <w:docPartObj>
        <w:docPartGallery w:val="Page Numbers (Bottom of Page)"/>
        <w:docPartUnique/>
      </w:docPartObj>
    </w:sdtPr>
    <w:sdtEndPr/>
    <w:sdtContent>
      <w:p w:rsidR="00D53B07" w:rsidRDefault="00E071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B07" w:rsidRDefault="00D53B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C8" w:rsidRDefault="00E071C8" w:rsidP="00660911">
      <w:pPr>
        <w:spacing w:after="0" w:line="240" w:lineRule="auto"/>
      </w:pPr>
      <w:r>
        <w:separator/>
      </w:r>
    </w:p>
  </w:footnote>
  <w:footnote w:type="continuationSeparator" w:id="0">
    <w:p w:rsidR="00E071C8" w:rsidRDefault="00E071C8" w:rsidP="0066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36"/>
    <w:multiLevelType w:val="multilevel"/>
    <w:tmpl w:val="EB7C8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95FCB"/>
    <w:multiLevelType w:val="multilevel"/>
    <w:tmpl w:val="824C3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224FF"/>
    <w:multiLevelType w:val="multilevel"/>
    <w:tmpl w:val="14DEE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E4984"/>
    <w:multiLevelType w:val="hybridMultilevel"/>
    <w:tmpl w:val="34446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B41FE"/>
    <w:multiLevelType w:val="multilevel"/>
    <w:tmpl w:val="E88C0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2425A"/>
    <w:multiLevelType w:val="multilevel"/>
    <w:tmpl w:val="86669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C5C14"/>
    <w:multiLevelType w:val="multilevel"/>
    <w:tmpl w:val="7BA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45C15"/>
    <w:multiLevelType w:val="multilevel"/>
    <w:tmpl w:val="B7F6D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4713E"/>
    <w:multiLevelType w:val="multilevel"/>
    <w:tmpl w:val="6FB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928B4"/>
    <w:multiLevelType w:val="multilevel"/>
    <w:tmpl w:val="9A72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790"/>
    <w:rsid w:val="0001169F"/>
    <w:rsid w:val="0003543C"/>
    <w:rsid w:val="00083FFB"/>
    <w:rsid w:val="000A049E"/>
    <w:rsid w:val="000A0DA4"/>
    <w:rsid w:val="000B4807"/>
    <w:rsid w:val="000D05BB"/>
    <w:rsid w:val="00100DD7"/>
    <w:rsid w:val="001141E0"/>
    <w:rsid w:val="001145E0"/>
    <w:rsid w:val="00132AFE"/>
    <w:rsid w:val="00143830"/>
    <w:rsid w:val="001468C4"/>
    <w:rsid w:val="001617D7"/>
    <w:rsid w:val="00166FC1"/>
    <w:rsid w:val="00175FF1"/>
    <w:rsid w:val="001768BB"/>
    <w:rsid w:val="00177AD4"/>
    <w:rsid w:val="00183236"/>
    <w:rsid w:val="00187CAA"/>
    <w:rsid w:val="00197269"/>
    <w:rsid w:val="001D0093"/>
    <w:rsid w:val="002120E2"/>
    <w:rsid w:val="0023234E"/>
    <w:rsid w:val="002333AA"/>
    <w:rsid w:val="00263731"/>
    <w:rsid w:val="00265E82"/>
    <w:rsid w:val="002C370F"/>
    <w:rsid w:val="00305B72"/>
    <w:rsid w:val="00333343"/>
    <w:rsid w:val="0033471A"/>
    <w:rsid w:val="0035529C"/>
    <w:rsid w:val="00363F09"/>
    <w:rsid w:val="003A0714"/>
    <w:rsid w:val="003A5DFF"/>
    <w:rsid w:val="003B15E2"/>
    <w:rsid w:val="003B7EC5"/>
    <w:rsid w:val="003F1E49"/>
    <w:rsid w:val="00403169"/>
    <w:rsid w:val="00454C4A"/>
    <w:rsid w:val="0046105B"/>
    <w:rsid w:val="00471225"/>
    <w:rsid w:val="00475051"/>
    <w:rsid w:val="00482D6E"/>
    <w:rsid w:val="004D0B02"/>
    <w:rsid w:val="00573205"/>
    <w:rsid w:val="005778A2"/>
    <w:rsid w:val="005A3AED"/>
    <w:rsid w:val="005D1531"/>
    <w:rsid w:val="00660911"/>
    <w:rsid w:val="007201BA"/>
    <w:rsid w:val="0072463F"/>
    <w:rsid w:val="0075712A"/>
    <w:rsid w:val="00772C08"/>
    <w:rsid w:val="0079547E"/>
    <w:rsid w:val="007B09A0"/>
    <w:rsid w:val="007B5AA4"/>
    <w:rsid w:val="007F59A5"/>
    <w:rsid w:val="00826948"/>
    <w:rsid w:val="0083033D"/>
    <w:rsid w:val="00832E7E"/>
    <w:rsid w:val="008419F9"/>
    <w:rsid w:val="00866E5A"/>
    <w:rsid w:val="00871C84"/>
    <w:rsid w:val="00887C44"/>
    <w:rsid w:val="00887FBC"/>
    <w:rsid w:val="008A6FC8"/>
    <w:rsid w:val="008C29BF"/>
    <w:rsid w:val="008D4344"/>
    <w:rsid w:val="008F03AD"/>
    <w:rsid w:val="008F7531"/>
    <w:rsid w:val="009217BD"/>
    <w:rsid w:val="00923D37"/>
    <w:rsid w:val="0096206A"/>
    <w:rsid w:val="0096341D"/>
    <w:rsid w:val="009651D8"/>
    <w:rsid w:val="00986FD7"/>
    <w:rsid w:val="009A5117"/>
    <w:rsid w:val="009B6649"/>
    <w:rsid w:val="009F6407"/>
    <w:rsid w:val="00A25615"/>
    <w:rsid w:val="00A316EA"/>
    <w:rsid w:val="00A31C32"/>
    <w:rsid w:val="00A36790"/>
    <w:rsid w:val="00A47DD9"/>
    <w:rsid w:val="00A5038C"/>
    <w:rsid w:val="00A60FFF"/>
    <w:rsid w:val="00A671E1"/>
    <w:rsid w:val="00A71B05"/>
    <w:rsid w:val="00AA1055"/>
    <w:rsid w:val="00AC185F"/>
    <w:rsid w:val="00AC6C4C"/>
    <w:rsid w:val="00AF716C"/>
    <w:rsid w:val="00B31454"/>
    <w:rsid w:val="00B3466F"/>
    <w:rsid w:val="00B63943"/>
    <w:rsid w:val="00B6580E"/>
    <w:rsid w:val="00B7240C"/>
    <w:rsid w:val="00B91EA5"/>
    <w:rsid w:val="00BA3979"/>
    <w:rsid w:val="00BC22EE"/>
    <w:rsid w:val="00BD2C23"/>
    <w:rsid w:val="00BE1220"/>
    <w:rsid w:val="00BE1D7A"/>
    <w:rsid w:val="00C03CF5"/>
    <w:rsid w:val="00C11212"/>
    <w:rsid w:val="00C47474"/>
    <w:rsid w:val="00C575BF"/>
    <w:rsid w:val="00C62EA3"/>
    <w:rsid w:val="00CB1967"/>
    <w:rsid w:val="00CE1F49"/>
    <w:rsid w:val="00CE5C02"/>
    <w:rsid w:val="00CF7B0F"/>
    <w:rsid w:val="00D13A06"/>
    <w:rsid w:val="00D16F60"/>
    <w:rsid w:val="00D37675"/>
    <w:rsid w:val="00D53B07"/>
    <w:rsid w:val="00D71A2A"/>
    <w:rsid w:val="00D929E2"/>
    <w:rsid w:val="00DA2F7D"/>
    <w:rsid w:val="00DA326E"/>
    <w:rsid w:val="00DF610D"/>
    <w:rsid w:val="00E04E06"/>
    <w:rsid w:val="00E071C8"/>
    <w:rsid w:val="00E531D2"/>
    <w:rsid w:val="00E600CE"/>
    <w:rsid w:val="00EA29E9"/>
    <w:rsid w:val="00EA6BFE"/>
    <w:rsid w:val="00EB4A5B"/>
    <w:rsid w:val="00EC689E"/>
    <w:rsid w:val="00EE0D5E"/>
    <w:rsid w:val="00EF6468"/>
    <w:rsid w:val="00F0596B"/>
    <w:rsid w:val="00F16E58"/>
    <w:rsid w:val="00F243D5"/>
    <w:rsid w:val="00F255ED"/>
    <w:rsid w:val="00F3401D"/>
    <w:rsid w:val="00F446BE"/>
    <w:rsid w:val="00F62BC0"/>
    <w:rsid w:val="00F82488"/>
    <w:rsid w:val="00FA25BE"/>
    <w:rsid w:val="00FD4B55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911"/>
  </w:style>
  <w:style w:type="paragraph" w:styleId="a5">
    <w:name w:val="footer"/>
    <w:basedOn w:val="a"/>
    <w:link w:val="a6"/>
    <w:uiPriority w:val="99"/>
    <w:unhideWhenUsed/>
    <w:rsid w:val="0066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911"/>
  </w:style>
  <w:style w:type="character" w:styleId="a7">
    <w:name w:val="Hyperlink"/>
    <w:basedOn w:val="a0"/>
    <w:uiPriority w:val="99"/>
    <w:unhideWhenUsed/>
    <w:rsid w:val="000A0DA4"/>
    <w:rPr>
      <w:color w:val="0000FF"/>
      <w:u w:val="single"/>
    </w:rPr>
  </w:style>
  <w:style w:type="character" w:styleId="a8">
    <w:name w:val="Strong"/>
    <w:basedOn w:val="a0"/>
    <w:uiPriority w:val="22"/>
    <w:qFormat/>
    <w:rsid w:val="008F7531"/>
    <w:rPr>
      <w:b/>
      <w:bCs/>
    </w:rPr>
  </w:style>
  <w:style w:type="table" w:styleId="a9">
    <w:name w:val="Table Grid"/>
    <w:basedOn w:val="a1"/>
    <w:uiPriority w:val="59"/>
    <w:rsid w:val="00AC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C575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C575B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4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ABD1-7C4A-4A38-AC45-34294611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Анастасия Донских</cp:lastModifiedBy>
  <cp:revision>6</cp:revision>
  <cp:lastPrinted>2025-05-23T09:05:00Z</cp:lastPrinted>
  <dcterms:created xsi:type="dcterms:W3CDTF">2025-05-23T09:03:00Z</dcterms:created>
  <dcterms:modified xsi:type="dcterms:W3CDTF">2025-06-02T02:06:00Z</dcterms:modified>
</cp:coreProperties>
</file>